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EC13C">
      <w:pPr>
        <w:widowControl/>
        <w:spacing w:line="560" w:lineRule="exact"/>
        <w:jc w:val="center"/>
        <w:rPr>
          <w:rFonts w:ascii="宋体" w:hAnsi="宋体" w:eastAsia="宋体" w:cs="宋体"/>
          <w:b/>
          <w:bCs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bidi="ar"/>
        </w:rPr>
        <w:t>关于开展2026届优秀毕业设计（论文）培育项目遴选工作的通知</w:t>
      </w:r>
    </w:p>
    <w:p w14:paraId="657EB078">
      <w:pPr>
        <w:widowControl/>
        <w:spacing w:line="560" w:lineRule="exact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各学院：</w:t>
      </w:r>
    </w:p>
    <w:p w14:paraId="05206F4F">
      <w:pPr>
        <w:widowControl/>
        <w:spacing w:line="56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为持续深化我校实践教学改革，充分发挥毕业设计（论文）在锤炼学生综合素质、激发创新思维、提升实践能力等方面的核心作用，进一步提升我校本科毕业设计（论文）（以下简称“毕设”）质量，现就 2026 届优秀本科毕设培育项目遴选工作通知如下：</w:t>
      </w:r>
    </w:p>
    <w:p w14:paraId="3E11C2F6">
      <w:pPr>
        <w:widowControl/>
        <w:spacing w:line="560" w:lineRule="exact"/>
        <w:ind w:firstLine="560" w:firstLineChars="200"/>
        <w:jc w:val="left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一、</w:t>
      </w:r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bidi="ar"/>
        </w:rPr>
        <w:t>总体要求</w:t>
      </w:r>
    </w:p>
    <w:p w14:paraId="231BCAE4">
      <w:pPr>
        <w:widowControl/>
        <w:spacing w:line="560" w:lineRule="exact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优秀毕设培育项目应从实验教学、创新实践、项目式实习、科产教融合、大项目培育五类选题中遴选，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对标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《优秀毕业论文（设计）评选标准》（附件1）中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的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“选题价值”“文献综述与研究基础”“研究设计与方法”“创新与实践能力”“成果规范性”五大核心维度，确保遴选项目从开题阶段即符合优秀毕设的基础要求与发展方向。重点聚焦校企联合毕设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 w:bidi="ar"/>
        </w:rPr>
        <w:t>——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即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依托企业实际项目或行业需求，由校内导师与企业技术骨干联合指导，学生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赴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合作企业开展现场实践研究的毕业设计（论文）。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各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培育项目应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紧扣标准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，打造兼具学术性与应用价值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 w:bidi="ar"/>
        </w:rPr>
        <w:t>，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且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符合科教融汇和产教融合导向的标杆性成果。</w:t>
      </w:r>
      <w:r>
        <w:rPr>
          <w:rFonts w:ascii="宋体" w:hAnsi="宋体" w:eastAsia="宋体" w:cs="宋体"/>
          <w:sz w:val="28"/>
          <w:szCs w:val="28"/>
        </w:rPr>
        <w:t xml:space="preserve"> </w:t>
      </w:r>
    </w:p>
    <w:p w14:paraId="017181D6">
      <w:pPr>
        <w:widowControl/>
        <w:spacing w:line="560" w:lineRule="exact"/>
        <w:ind w:firstLine="560" w:firstLineChars="200"/>
        <w:jc w:val="left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二、</w:t>
      </w:r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bidi="ar"/>
        </w:rPr>
        <w:t>申报条件</w:t>
      </w:r>
    </w:p>
    <w:p w14:paraId="668A906C">
      <w:pPr>
        <w:widowControl/>
        <w:spacing w:line="560" w:lineRule="exact"/>
        <w:ind w:firstLine="562" w:firstLineChars="200"/>
        <w:jc w:val="left"/>
        <w:outlineLvl w:val="1"/>
        <w:rPr>
          <w:rFonts w:ascii="宋体" w:hAnsi="宋体" w:eastAsia="宋体" w:cs="宋体"/>
          <w:sz w:val="28"/>
          <w:szCs w:val="28"/>
        </w:rPr>
      </w:pPr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bidi="ar"/>
        </w:rPr>
        <w:t>（一）学生条件</w:t>
      </w:r>
    </w:p>
    <w:p w14:paraId="0A97DD4A">
      <w:pPr>
        <w:widowControl/>
        <w:spacing w:line="56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申报学生应为2026届本科毕设学生（含第二学位学生、留学生），具有较强的创新实践能力和钻研探究精神，具有一定的论文写作基础及相关科创、竞赛经历。满足下述条件优先考虑：</w:t>
      </w:r>
    </w:p>
    <w:p w14:paraId="29D8B3B1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1．以第一作者或指导教师为第一作者、学生为第二作者发表/录用核心期刊论文；或投稿“校本科生学术论坛”并获得一等奖及以上奖项；</w:t>
      </w:r>
    </w:p>
    <w:p w14:paraId="6630B6A5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．主要参与完成“企业项目式”实习或校企工程实践项目，并结合企业实际项目在毕业设计（论文）中继续开展深入研究，由校企双导师指导；</w:t>
      </w:r>
    </w:p>
    <w:p w14:paraId="4E20193C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．主要参与完成校级及以上且结题优秀创新创业训练计划项目；</w:t>
      </w:r>
    </w:p>
    <w:p w14:paraId="63AFB749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．作为主要参与者获得Ⅱ级及以上竞赛第三等次及以上奖项（赛事级别认定表详见附件2）；</w:t>
      </w:r>
    </w:p>
    <w:p w14:paraId="5703B1DF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．作为主要参与者申请发明专利；</w:t>
      </w:r>
    </w:p>
    <w:p w14:paraId="414AA067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．指导教师为省级或者国家级工程人才，学生已经进入指导教师实验室或主题创新区，参与教师科研项目。</w:t>
      </w:r>
    </w:p>
    <w:p w14:paraId="168C613A">
      <w:pPr>
        <w:widowControl/>
        <w:spacing w:line="560" w:lineRule="exact"/>
        <w:ind w:firstLine="562" w:firstLineChars="200"/>
        <w:jc w:val="left"/>
        <w:outlineLvl w:val="1"/>
        <w:rPr>
          <w:rFonts w:ascii="宋体" w:hAnsi="宋体" w:eastAsia="宋体" w:cs="宋体"/>
          <w:sz w:val="28"/>
          <w:szCs w:val="28"/>
        </w:rPr>
      </w:pPr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bidi="ar"/>
        </w:rPr>
        <w:t>（二）指导教师条件</w:t>
      </w:r>
    </w:p>
    <w:p w14:paraId="38176223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．毕业设计（论文）指导教师热心本科教学，在本学科领域具有较高的学术研究能力。在指导大学生毕业设计、创新训练、学科竞赛等方面经验丰富并卓有成效，能够为本科生开展毕业设计研究工作提供良好的基础条件。</w:t>
      </w:r>
    </w:p>
    <w:p w14:paraId="650D2008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．“校企联合毕设”专项需实行“双导师指导”，除满足上述条件的校内指导教师外，还需配备1名企业导师。企业导师须为企业技术骨干或项目负责人，具备5年及以上相关领域工作经验，能够为学生提供真实项目任务与实践指导；双导师需共同制定指导计划，每月联合开展不少于1次指导。</w:t>
      </w:r>
    </w:p>
    <w:p w14:paraId="5F30A449">
      <w:pPr>
        <w:widowControl/>
        <w:spacing w:line="560" w:lineRule="exact"/>
        <w:ind w:firstLine="562" w:firstLineChars="200"/>
        <w:jc w:val="left"/>
        <w:outlineLvl w:val="1"/>
        <w:rPr>
          <w:rFonts w:ascii="宋体" w:hAnsi="宋体" w:eastAsia="宋体" w:cs="宋体"/>
          <w:sz w:val="28"/>
          <w:szCs w:val="28"/>
        </w:rPr>
      </w:pPr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bidi="ar"/>
        </w:rPr>
        <w:t>（三）项目条件</w:t>
      </w:r>
    </w:p>
    <w:p w14:paraId="226F2846">
      <w:pPr>
        <w:pStyle w:val="5"/>
        <w:widowControl/>
        <w:spacing w:beforeAutospacing="0" w:afterAutospacing="0" w:line="560" w:lineRule="exact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1．</w:t>
      </w:r>
      <w:r>
        <w:rPr>
          <w:rStyle w:val="9"/>
          <w:rFonts w:hint="eastAsia" w:ascii="宋体" w:hAnsi="宋体" w:eastAsia="宋体" w:cs="宋体"/>
          <w:sz w:val="28"/>
          <w:szCs w:val="28"/>
        </w:rPr>
        <w:t>选题要求。</w:t>
      </w:r>
      <w:r>
        <w:rPr>
          <w:rFonts w:hint="eastAsia" w:ascii="宋体" w:hAnsi="宋体" w:eastAsia="宋体" w:cs="宋体"/>
          <w:sz w:val="28"/>
          <w:szCs w:val="28"/>
        </w:rPr>
        <w:t>毕业设计（论文）选题方向和内容符合本专业的培养目标，研究工作量饱满，契合本学科专业的发展，具有较高的科技价值或应用参考价值。</w:t>
      </w:r>
    </w:p>
    <w:p w14:paraId="79A8F041">
      <w:pPr>
        <w:pStyle w:val="5"/>
        <w:widowControl/>
        <w:spacing w:beforeAutospacing="0" w:afterAutospacing="0" w:line="560" w:lineRule="exact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2．</w:t>
      </w:r>
      <w:r>
        <w:rPr>
          <w:rStyle w:val="9"/>
          <w:rFonts w:hint="eastAsia" w:ascii="宋体" w:hAnsi="宋体" w:eastAsia="宋体" w:cs="宋体"/>
          <w:sz w:val="28"/>
          <w:szCs w:val="28"/>
        </w:rPr>
        <w:t>开题报告要求。</w:t>
      </w:r>
      <w:r>
        <w:rPr>
          <w:rFonts w:hint="eastAsia" w:ascii="宋体" w:hAnsi="宋体" w:eastAsia="宋体" w:cs="宋体"/>
          <w:sz w:val="28"/>
          <w:szCs w:val="28"/>
        </w:rPr>
        <w:t>开题报告需充分体现学生较强的文献检索及综述能力，对研究的问题分析论述清晰，研究目标和思路明确具体，已运用相关研究方法、手段和工具开展部分课题设计和研究工作。</w:t>
      </w:r>
    </w:p>
    <w:p w14:paraId="371EC557">
      <w:pPr>
        <w:pStyle w:val="5"/>
        <w:widowControl/>
        <w:spacing w:beforeAutospacing="0" w:afterAutospacing="0" w:line="560" w:lineRule="exact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3．</w:t>
      </w:r>
      <w:r>
        <w:rPr>
          <w:rStyle w:val="9"/>
          <w:rFonts w:hint="eastAsia" w:ascii="宋体" w:hAnsi="宋体" w:eastAsia="宋体" w:cs="宋体"/>
          <w:sz w:val="28"/>
          <w:szCs w:val="28"/>
        </w:rPr>
        <w:t>特色及成果要求。</w:t>
      </w:r>
      <w:r>
        <w:rPr>
          <w:rFonts w:hint="eastAsia" w:ascii="宋体" w:hAnsi="宋体" w:eastAsia="宋体" w:cs="宋体"/>
          <w:sz w:val="28"/>
          <w:szCs w:val="28"/>
        </w:rPr>
        <w:t>毕设需具备显著的特色或新意。其中毕业论文需基于研究现状，提出新问题或探索解决问题新方法；毕业设计需将专业知识与技能灵活应用于工程实际问题的解决，研究过程严格遵循行业规范，对应用方法分析与探讨具备一定新意。</w:t>
      </w:r>
    </w:p>
    <w:p w14:paraId="33140B49">
      <w:pPr>
        <w:widowControl/>
        <w:spacing w:line="560" w:lineRule="exact"/>
        <w:ind w:firstLine="562" w:firstLineChars="200"/>
        <w:jc w:val="left"/>
        <w:outlineLvl w:val="0"/>
        <w:rPr>
          <w:rFonts w:ascii="宋体" w:hAnsi="宋体" w:eastAsia="宋体" w:cs="宋体"/>
          <w:sz w:val="28"/>
          <w:szCs w:val="28"/>
        </w:rPr>
      </w:pPr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bidi="ar"/>
        </w:rPr>
        <w:t>三、项目管理</w:t>
      </w:r>
    </w:p>
    <w:p w14:paraId="29913D22">
      <w:pPr>
        <w:widowControl/>
        <w:spacing w:line="560" w:lineRule="exact"/>
        <w:ind w:firstLine="562" w:firstLineChars="200"/>
        <w:jc w:val="left"/>
        <w:outlineLvl w:val="1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bidi="ar"/>
        </w:rPr>
        <w:t>（一）</w:t>
      </w:r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bidi="ar"/>
        </w:rPr>
        <w:t>项目运行</w:t>
      </w:r>
    </w:p>
    <w:p w14:paraId="2D9274D2">
      <w:pPr>
        <w:widowControl/>
        <w:spacing w:line="560" w:lineRule="exact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各学院应积极创造条件，为项目实施提供必要的场地、实验设备等保障。“校企联合毕设”项目所属学院需协助学生与合作企业对接实践安排，确保研究工作顺利推进。</w:t>
      </w:r>
    </w:p>
    <w:p w14:paraId="410425C1">
      <w:pPr>
        <w:widowControl/>
        <w:spacing w:line="560" w:lineRule="exac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凡是纳入优秀本科优秀毕业设计（论文）培育的项目，应高标准执行学校的过程管理要求，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积极发表学术论文、参与各级各类学科竞赛，形成高质量研究成果</w:t>
      </w:r>
      <w:r>
        <w:rPr>
          <w:rFonts w:hint="eastAsia" w:ascii="宋体" w:hAnsi="宋体" w:eastAsia="宋体" w:cs="宋体"/>
          <w:color w:val="FF0000"/>
          <w:sz w:val="28"/>
          <w:szCs w:val="28"/>
          <w:highlight w:val="yellow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涉及变更指导教师、研究内容等事项，项目负责人应提出书面报告，经学院审核，报学校批准。</w:t>
      </w:r>
    </w:p>
    <w:p w14:paraId="45A37BD9">
      <w:pPr>
        <w:widowControl/>
        <w:spacing w:line="560" w:lineRule="exact"/>
        <w:ind w:firstLine="562" w:firstLineChars="200"/>
        <w:jc w:val="left"/>
        <w:outlineLvl w:val="1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bidi="ar"/>
        </w:rPr>
        <w:t>（二）</w:t>
      </w:r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bidi="ar"/>
        </w:rPr>
        <w:t>项目结题认定标准</w:t>
      </w:r>
    </w:p>
    <w:p w14:paraId="6B09D73A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1．毕业设计（论文）成绩为优秀的培育项目，认定为结题通过；</w:t>
      </w:r>
    </w:p>
    <w:p w14:paraId="1F0C7B4F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2．获得校级优秀毕业设计（论文）的培育项目，认定为结题良好；</w:t>
      </w:r>
    </w:p>
    <w:p w14:paraId="5B4E95BB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3．获得校级优秀毕业设计（论文）特等奖的培育项目，认定为结题优秀。</w:t>
      </w:r>
    </w:p>
    <w:p w14:paraId="62E859F7">
      <w:pPr>
        <w:widowControl/>
        <w:spacing w:line="560" w:lineRule="exact"/>
        <w:ind w:firstLine="562" w:firstLineChars="200"/>
        <w:jc w:val="left"/>
        <w:outlineLvl w:val="1"/>
        <w:rPr>
          <w:rStyle w:val="9"/>
          <w:rFonts w:hint="eastAsia" w:ascii="宋体" w:hAnsi="宋体" w:eastAsia="宋体" w:cs="宋体"/>
          <w:kern w:val="0"/>
          <w:sz w:val="28"/>
          <w:szCs w:val="28"/>
          <w:lang w:bidi="ar"/>
        </w:rPr>
      </w:pPr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bidi="ar"/>
        </w:rPr>
        <w:t>（三）经</w:t>
      </w:r>
      <w:bookmarkStart w:id="0" w:name="_GoBack"/>
      <w:bookmarkEnd w:id="0"/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bidi="ar"/>
        </w:rPr>
        <w:t>费支持</w:t>
      </w:r>
    </w:p>
    <w:p w14:paraId="22A5399E">
      <w:pPr>
        <w:widowControl/>
        <w:spacing w:line="56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1．学校为优秀毕设培育项目设立专项经费，每项资助额度为4000元，经费可用于课题研究所需的零件耗材购置、调研差旅费和成果发表版面费等与项目直接相关的支出；</w:t>
      </w:r>
    </w:p>
    <w:p w14:paraId="7DFD639E">
      <w:pPr>
        <w:widowControl/>
        <w:spacing w:line="56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2．结题优秀的项目额外追加指导教师教学研究经费6000元/篇；</w:t>
      </w:r>
    </w:p>
    <w:p w14:paraId="4623A432">
      <w:pPr>
        <w:widowControl/>
        <w:spacing w:line="56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3．项目未获评校级优秀毕业设计（论文）的，教务部将在次年学院教学运行经费中扣除对应资助经费。</w:t>
      </w:r>
    </w:p>
    <w:p w14:paraId="63F3F7FA">
      <w:pPr>
        <w:widowControl/>
        <w:spacing w:line="560" w:lineRule="exact"/>
        <w:ind w:firstLine="562" w:firstLineChars="200"/>
        <w:jc w:val="left"/>
        <w:outlineLvl w:val="0"/>
        <w:rPr>
          <w:rStyle w:val="9"/>
          <w:rFonts w:ascii="宋体" w:hAnsi="宋体" w:eastAsia="宋体" w:cs="宋体"/>
          <w:kern w:val="0"/>
          <w:sz w:val="28"/>
          <w:szCs w:val="28"/>
          <w:lang w:bidi="ar"/>
        </w:rPr>
      </w:pPr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bidi="ar"/>
        </w:rPr>
        <w:t>三、申报要求</w:t>
      </w:r>
    </w:p>
    <w:p w14:paraId="5616A6F0">
      <w:pPr>
        <w:widowControl/>
        <w:spacing w:line="560" w:lineRule="exact"/>
        <w:ind w:firstLine="562" w:firstLineChars="200"/>
        <w:jc w:val="left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eastAsia="zh-CN" w:bidi="ar"/>
        </w:rPr>
        <w:t>（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 w:bidi="ar"/>
        </w:rPr>
        <w:t>一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eastAsia="zh-CN" w:bidi="ar"/>
        </w:rPr>
        <w:t>）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bidi="ar"/>
        </w:rPr>
        <w:t>指标划分：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教务部综合考虑各学院毕设学生人数、往年毕设质量、上一年度优秀毕设培育项目的实施效果等因素，核算并下达各学院推荐指标，其中“校企联合毕设”专项指标仅限校企联合毕设项目申报。设立长空创新班、来华留学生专用遴选指标，仅限对应类别学生申报，不得调剂使用。</w:t>
      </w:r>
    </w:p>
    <w:p w14:paraId="792B9C50">
      <w:pPr>
        <w:widowControl/>
        <w:spacing w:line="560" w:lineRule="exact"/>
        <w:ind w:firstLine="562" w:firstLineChars="200"/>
        <w:jc w:val="left"/>
        <w:outlineLvl w:val="2"/>
        <w:rPr>
          <w:rFonts w:ascii="宋体" w:hAnsi="宋体" w:eastAsia="宋体" w:cs="宋体"/>
          <w:sz w:val="28"/>
          <w:szCs w:val="28"/>
        </w:rPr>
      </w:pPr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eastAsia="zh-CN" w:bidi="ar"/>
        </w:rPr>
        <w:t>（</w:t>
      </w:r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二</w:t>
      </w:r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eastAsia="zh-CN" w:bidi="ar"/>
        </w:rPr>
        <w:t>）</w:t>
      </w:r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bidi="ar"/>
        </w:rPr>
        <w:t>申报流程：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学生在指导教师指导下，填写《优秀毕业设计（论文）培育项目申报书》（附件3）；各学院需组织专家组，对照《优秀毕业论文（设计）评选标准》（附件1），对申报项目的选题质量、指导教师资质、学生科研潜力等进行全面审核，在指标范围内择优推荐，并填写《优秀毕业设计（论文）培育项目申报汇总表》（附件4）；教务部对学院提交的材料进行最终审核，确认立项名单后在教务部官网公示。</w:t>
      </w:r>
    </w:p>
    <w:p w14:paraId="66CF1F86">
      <w:pPr>
        <w:widowControl/>
        <w:spacing w:line="560" w:lineRule="exact"/>
        <w:ind w:firstLine="562" w:firstLineChars="200"/>
        <w:jc w:val="left"/>
        <w:outlineLvl w:val="2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eastAsia="zh-CN" w:bidi="ar"/>
        </w:rPr>
        <w:t>（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 w:bidi="ar"/>
        </w:rPr>
        <w:t>三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eastAsia="zh-CN" w:bidi="ar"/>
        </w:rPr>
        <w:t>）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bidi="ar"/>
        </w:rPr>
        <w:t>材料提交：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请各学院于</w:t>
      </w:r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bidi="ar"/>
        </w:rPr>
        <w:t>2026年1月2</w:t>
      </w:r>
      <w:r>
        <w:rPr>
          <w:rStyle w:val="9"/>
          <w:rFonts w:ascii="宋体" w:hAnsi="宋体" w:eastAsia="宋体" w:cs="宋体"/>
          <w:kern w:val="0"/>
          <w:sz w:val="28"/>
          <w:szCs w:val="28"/>
          <w:lang w:bidi="ar"/>
        </w:rPr>
        <w:t>3</w:t>
      </w:r>
      <w:r>
        <w:rPr>
          <w:rStyle w:val="9"/>
          <w:rFonts w:hint="eastAsia" w:ascii="宋体" w:hAnsi="宋体" w:eastAsia="宋体" w:cs="宋体"/>
          <w:kern w:val="0"/>
          <w:sz w:val="28"/>
          <w:szCs w:val="28"/>
          <w:lang w:bidi="ar"/>
        </w:rPr>
        <w:t>日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前，将《优秀毕业设计（论文）培育项目申报书》（附件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）和《优秀毕业设计（论文）培育项目申报汇总表》（附件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）（盖章扫描 PDF 版及电子版）发送至指定邮箱。</w:t>
      </w:r>
    </w:p>
    <w:p w14:paraId="3A205BC3">
      <w:pPr>
        <w:widowControl/>
        <w:spacing w:line="56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 </w:t>
      </w:r>
    </w:p>
    <w:p w14:paraId="6EE8AE8B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联系人：刘威（教务部实践教学科）</w:t>
      </w:r>
    </w:p>
    <w:p w14:paraId="056E7463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联系电话：025-84892737</w:t>
      </w:r>
    </w:p>
    <w:p w14:paraId="6AE1D818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邮箱地址：</w:t>
      </w:r>
      <w:r>
        <w:fldChar w:fldCharType="begin"/>
      </w:r>
      <w:r>
        <w:instrText xml:space="preserve"> HYPERLINK "mailto:ded03@nuaa.edu.cn%E3%80%82" </w:instrText>
      </w:r>
      <w:r>
        <w:fldChar w:fldCharType="separate"/>
      </w:r>
      <w:r>
        <w:rPr>
          <w:rStyle w:val="11"/>
          <w:rFonts w:hint="eastAsia" w:ascii="宋体" w:hAnsi="宋体" w:eastAsia="宋体" w:cs="宋体"/>
          <w:sz w:val="28"/>
          <w:szCs w:val="28"/>
        </w:rPr>
        <w:t>ded03@nuaa.edu.cn</w:t>
      </w:r>
      <w:r>
        <w:rPr>
          <w:rStyle w:val="11"/>
          <w:rFonts w:hint="eastAsia" w:ascii="宋体" w:hAnsi="宋体" w:eastAsia="宋体" w:cs="宋体"/>
          <w:sz w:val="28"/>
          <w:szCs w:val="28"/>
        </w:rPr>
        <w:fldChar w:fldCharType="end"/>
      </w:r>
    </w:p>
    <w:p w14:paraId="66EDBFB3">
      <w:pPr>
        <w:widowControl/>
        <w:spacing w:line="56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 </w:t>
      </w:r>
    </w:p>
    <w:p w14:paraId="1D6E4DD6">
      <w:pPr>
        <w:widowControl/>
        <w:spacing w:line="56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附件：</w:t>
      </w:r>
    </w:p>
    <w:p w14:paraId="366EF880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 优秀毕业论文（设计）评选标准</w:t>
      </w:r>
    </w:p>
    <w:p w14:paraId="5763F7B4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 南京航空航天大学大学生竞赛级别认定表（2024年度）</w:t>
      </w:r>
    </w:p>
    <w:p w14:paraId="7BBD207A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 优秀毕业设计（论文）培育项目申报书</w:t>
      </w:r>
    </w:p>
    <w:p w14:paraId="5B22FBCF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 优秀毕业设计（论文）培育项目申报汇总表</w:t>
      </w:r>
    </w:p>
    <w:p w14:paraId="345DC68B">
      <w:pPr>
        <w:widowControl/>
        <w:spacing w:line="560" w:lineRule="exact"/>
        <w:ind w:firstLine="560" w:firstLineChars="200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教务部</w:t>
      </w:r>
    </w:p>
    <w:p w14:paraId="2D5FB81C">
      <w:pPr>
        <w:widowControl/>
        <w:spacing w:line="560" w:lineRule="exact"/>
        <w:ind w:firstLine="560" w:firstLineChars="200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2025年12月31日</w:t>
      </w:r>
    </w:p>
    <w:p w14:paraId="3AA5C343">
      <w:pPr>
        <w:widowControl/>
        <w:spacing w:line="560" w:lineRule="exact"/>
        <w:ind w:firstLine="560" w:firstLineChars="2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 </w:t>
      </w:r>
    </w:p>
    <w:p w14:paraId="5642A9E8">
      <w:pPr>
        <w:pStyle w:val="5"/>
        <w:widowControl/>
        <w:spacing w:beforeAutospacing="0" w:afterAutospacing="0" w:line="56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</w:p>
    <w:p w14:paraId="7AB7B726">
      <w:pPr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22547F"/>
    <w:multiLevelType w:val="multilevel"/>
    <w:tmpl w:val="0722547F"/>
    <w:lvl w:ilvl="0" w:tentative="0">
      <w:start w:val="1"/>
      <w:numFmt w:val="japaneseCounting"/>
      <w:pStyle w:val="12"/>
      <w:lvlText w:val="%1、"/>
      <w:lvlJc w:val="left"/>
      <w:pPr>
        <w:ind w:left="12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40"/>
      </w:pPr>
    </w:lvl>
    <w:lvl w:ilvl="2" w:tentative="0">
      <w:start w:val="1"/>
      <w:numFmt w:val="lowerRoman"/>
      <w:lvlText w:val="%3."/>
      <w:lvlJc w:val="right"/>
      <w:pPr>
        <w:ind w:left="1880" w:hanging="440"/>
      </w:pPr>
    </w:lvl>
    <w:lvl w:ilvl="3" w:tentative="0">
      <w:start w:val="1"/>
      <w:numFmt w:val="decimal"/>
      <w:lvlText w:val="%4."/>
      <w:lvlJc w:val="left"/>
      <w:pPr>
        <w:ind w:left="2320" w:hanging="440"/>
      </w:pPr>
    </w:lvl>
    <w:lvl w:ilvl="4" w:tentative="0">
      <w:start w:val="1"/>
      <w:numFmt w:val="lowerLetter"/>
      <w:lvlText w:val="%5)"/>
      <w:lvlJc w:val="left"/>
      <w:pPr>
        <w:ind w:left="2760" w:hanging="440"/>
      </w:pPr>
    </w:lvl>
    <w:lvl w:ilvl="5" w:tentative="0">
      <w:start w:val="1"/>
      <w:numFmt w:val="lowerRoman"/>
      <w:lvlText w:val="%6."/>
      <w:lvlJc w:val="right"/>
      <w:pPr>
        <w:ind w:left="3200" w:hanging="440"/>
      </w:pPr>
    </w:lvl>
    <w:lvl w:ilvl="6" w:tentative="0">
      <w:start w:val="1"/>
      <w:numFmt w:val="decimal"/>
      <w:lvlText w:val="%7."/>
      <w:lvlJc w:val="left"/>
      <w:pPr>
        <w:ind w:left="3640" w:hanging="440"/>
      </w:pPr>
    </w:lvl>
    <w:lvl w:ilvl="7" w:tentative="0">
      <w:start w:val="1"/>
      <w:numFmt w:val="lowerLetter"/>
      <w:lvlText w:val="%8)"/>
      <w:lvlJc w:val="left"/>
      <w:pPr>
        <w:ind w:left="4080" w:hanging="440"/>
      </w:pPr>
    </w:lvl>
    <w:lvl w:ilvl="8" w:tentative="0">
      <w:start w:val="1"/>
      <w:numFmt w:val="lowerRoman"/>
      <w:lvlText w:val="%9."/>
      <w:lvlJc w:val="right"/>
      <w:pPr>
        <w:ind w:left="452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50131E"/>
    <w:rsid w:val="00060A9C"/>
    <w:rsid w:val="000E6C29"/>
    <w:rsid w:val="003F7F8E"/>
    <w:rsid w:val="005C1AFB"/>
    <w:rsid w:val="0065363D"/>
    <w:rsid w:val="00750F34"/>
    <w:rsid w:val="00970B72"/>
    <w:rsid w:val="00C82E59"/>
    <w:rsid w:val="00DB798E"/>
    <w:rsid w:val="00DC54FF"/>
    <w:rsid w:val="00EA401B"/>
    <w:rsid w:val="00EF5215"/>
    <w:rsid w:val="00FE2775"/>
    <w:rsid w:val="011F6D49"/>
    <w:rsid w:val="01EC3E90"/>
    <w:rsid w:val="03045021"/>
    <w:rsid w:val="03322D52"/>
    <w:rsid w:val="03765F13"/>
    <w:rsid w:val="03D15C02"/>
    <w:rsid w:val="061C7071"/>
    <w:rsid w:val="0711417B"/>
    <w:rsid w:val="07A25619"/>
    <w:rsid w:val="085D1644"/>
    <w:rsid w:val="091D46C3"/>
    <w:rsid w:val="09246F84"/>
    <w:rsid w:val="0A1F4621"/>
    <w:rsid w:val="0A66650B"/>
    <w:rsid w:val="0B912A6F"/>
    <w:rsid w:val="0C2C1C5A"/>
    <w:rsid w:val="0C9D2956"/>
    <w:rsid w:val="0D10538A"/>
    <w:rsid w:val="0DB165E0"/>
    <w:rsid w:val="0DDB51A5"/>
    <w:rsid w:val="103A7B85"/>
    <w:rsid w:val="10AB12C6"/>
    <w:rsid w:val="112B39E1"/>
    <w:rsid w:val="11326CF1"/>
    <w:rsid w:val="113F222E"/>
    <w:rsid w:val="11B011F0"/>
    <w:rsid w:val="122B4561"/>
    <w:rsid w:val="12FC2ECD"/>
    <w:rsid w:val="138322F2"/>
    <w:rsid w:val="138C13B1"/>
    <w:rsid w:val="13C96B57"/>
    <w:rsid w:val="14ED0F12"/>
    <w:rsid w:val="16917EA0"/>
    <w:rsid w:val="17280B09"/>
    <w:rsid w:val="178C784F"/>
    <w:rsid w:val="18232AAF"/>
    <w:rsid w:val="19B27315"/>
    <w:rsid w:val="1A815802"/>
    <w:rsid w:val="1B20369E"/>
    <w:rsid w:val="1B5E7755"/>
    <w:rsid w:val="1C3005D4"/>
    <w:rsid w:val="1DCD0BC2"/>
    <w:rsid w:val="1E206F43"/>
    <w:rsid w:val="1ECD028E"/>
    <w:rsid w:val="20B6313D"/>
    <w:rsid w:val="20C31E08"/>
    <w:rsid w:val="20EE50D7"/>
    <w:rsid w:val="212A294C"/>
    <w:rsid w:val="216862FD"/>
    <w:rsid w:val="21AC6785"/>
    <w:rsid w:val="22334D82"/>
    <w:rsid w:val="24510365"/>
    <w:rsid w:val="24927037"/>
    <w:rsid w:val="24A756CB"/>
    <w:rsid w:val="24F17A37"/>
    <w:rsid w:val="25087CEF"/>
    <w:rsid w:val="26013B1B"/>
    <w:rsid w:val="26624D38"/>
    <w:rsid w:val="26B10373"/>
    <w:rsid w:val="27C923FA"/>
    <w:rsid w:val="282B44F6"/>
    <w:rsid w:val="28621E4D"/>
    <w:rsid w:val="29033556"/>
    <w:rsid w:val="2920018D"/>
    <w:rsid w:val="29A432FC"/>
    <w:rsid w:val="29D62BAC"/>
    <w:rsid w:val="2B347251"/>
    <w:rsid w:val="2B741C4D"/>
    <w:rsid w:val="2C4643B2"/>
    <w:rsid w:val="2C5C00DB"/>
    <w:rsid w:val="2C9C24CE"/>
    <w:rsid w:val="2CF56090"/>
    <w:rsid w:val="2CFF59AA"/>
    <w:rsid w:val="2D090A00"/>
    <w:rsid w:val="2DA23685"/>
    <w:rsid w:val="2F415705"/>
    <w:rsid w:val="2F6B23D1"/>
    <w:rsid w:val="307659DF"/>
    <w:rsid w:val="31037367"/>
    <w:rsid w:val="31126B91"/>
    <w:rsid w:val="325A6B46"/>
    <w:rsid w:val="32CC52A7"/>
    <w:rsid w:val="32FF1E64"/>
    <w:rsid w:val="33004208"/>
    <w:rsid w:val="33652CA6"/>
    <w:rsid w:val="34C409E9"/>
    <w:rsid w:val="35126A6E"/>
    <w:rsid w:val="366C0B20"/>
    <w:rsid w:val="36EC0C15"/>
    <w:rsid w:val="38010D21"/>
    <w:rsid w:val="38883B62"/>
    <w:rsid w:val="38EA4A6F"/>
    <w:rsid w:val="397B655D"/>
    <w:rsid w:val="3994332D"/>
    <w:rsid w:val="39C82975"/>
    <w:rsid w:val="3DA1638A"/>
    <w:rsid w:val="3DD523E7"/>
    <w:rsid w:val="3E0169AF"/>
    <w:rsid w:val="3EAD1CD6"/>
    <w:rsid w:val="3EED2A1A"/>
    <w:rsid w:val="3EF618CF"/>
    <w:rsid w:val="41287BB3"/>
    <w:rsid w:val="418D13E5"/>
    <w:rsid w:val="41E50568"/>
    <w:rsid w:val="42B87046"/>
    <w:rsid w:val="442A654C"/>
    <w:rsid w:val="44461163"/>
    <w:rsid w:val="44554F19"/>
    <w:rsid w:val="450B6662"/>
    <w:rsid w:val="48197C6F"/>
    <w:rsid w:val="491C78FC"/>
    <w:rsid w:val="49952516"/>
    <w:rsid w:val="4AEC61E8"/>
    <w:rsid w:val="4B020D63"/>
    <w:rsid w:val="4BD37435"/>
    <w:rsid w:val="4C4023DB"/>
    <w:rsid w:val="4DA3492F"/>
    <w:rsid w:val="4F8935CB"/>
    <w:rsid w:val="4F8D64A2"/>
    <w:rsid w:val="4FB12301"/>
    <w:rsid w:val="4FF811EB"/>
    <w:rsid w:val="506045B2"/>
    <w:rsid w:val="542C5954"/>
    <w:rsid w:val="54C07889"/>
    <w:rsid w:val="54DE7301"/>
    <w:rsid w:val="572A3E27"/>
    <w:rsid w:val="572B16C7"/>
    <w:rsid w:val="57BB4460"/>
    <w:rsid w:val="58F06F88"/>
    <w:rsid w:val="5A296BA4"/>
    <w:rsid w:val="5B7163BD"/>
    <w:rsid w:val="5B7A680D"/>
    <w:rsid w:val="5BBB382C"/>
    <w:rsid w:val="5BDD44F5"/>
    <w:rsid w:val="5CEB1EEF"/>
    <w:rsid w:val="5D3D22B4"/>
    <w:rsid w:val="5DFF2B2D"/>
    <w:rsid w:val="5F411581"/>
    <w:rsid w:val="613A430C"/>
    <w:rsid w:val="61FF5398"/>
    <w:rsid w:val="63240F67"/>
    <w:rsid w:val="660C632E"/>
    <w:rsid w:val="66A814AA"/>
    <w:rsid w:val="67C94129"/>
    <w:rsid w:val="67DE65EB"/>
    <w:rsid w:val="683C7AA3"/>
    <w:rsid w:val="6850131E"/>
    <w:rsid w:val="686A0AB4"/>
    <w:rsid w:val="695D23C7"/>
    <w:rsid w:val="6A3727B5"/>
    <w:rsid w:val="6A375130"/>
    <w:rsid w:val="6B3E753D"/>
    <w:rsid w:val="6C20659F"/>
    <w:rsid w:val="6C810E50"/>
    <w:rsid w:val="6DC86F50"/>
    <w:rsid w:val="6DF80F7B"/>
    <w:rsid w:val="6E237BE1"/>
    <w:rsid w:val="6E677844"/>
    <w:rsid w:val="6F0555A0"/>
    <w:rsid w:val="706B24B8"/>
    <w:rsid w:val="71991B16"/>
    <w:rsid w:val="72824C4C"/>
    <w:rsid w:val="73832492"/>
    <w:rsid w:val="75083B66"/>
    <w:rsid w:val="75972704"/>
    <w:rsid w:val="75BE41ED"/>
    <w:rsid w:val="76570A4A"/>
    <w:rsid w:val="76991590"/>
    <w:rsid w:val="77071BC4"/>
    <w:rsid w:val="77144946"/>
    <w:rsid w:val="771E10DA"/>
    <w:rsid w:val="77B05237"/>
    <w:rsid w:val="78DA554A"/>
    <w:rsid w:val="7950184B"/>
    <w:rsid w:val="797D4C25"/>
    <w:rsid w:val="7990523D"/>
    <w:rsid w:val="7AF6463E"/>
    <w:rsid w:val="7B540466"/>
    <w:rsid w:val="7D377872"/>
    <w:rsid w:val="7DAA66A0"/>
    <w:rsid w:val="7DD01C79"/>
    <w:rsid w:val="7E21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800080"/>
      <w:u w:val="single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List Paragraph"/>
    <w:basedOn w:val="1"/>
    <w:autoRedefine/>
    <w:qFormat/>
    <w:uiPriority w:val="34"/>
    <w:pPr>
      <w:numPr>
        <w:ilvl w:val="0"/>
        <w:numId w:val="1"/>
      </w:numPr>
    </w:pPr>
    <w:rPr>
      <w:rFonts w:ascii="仿宋" w:hAnsi="仿宋" w:eastAsia="仿宋"/>
      <w:b/>
      <w:bCs/>
      <w:sz w:val="28"/>
    </w:rPr>
  </w:style>
  <w:style w:type="character" w:customStyle="1" w:styleId="13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8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2243</Words>
  <Characters>2306</Characters>
  <Lines>50</Lines>
  <Paragraphs>56</Paragraphs>
  <TotalTime>25</TotalTime>
  <ScaleCrop>false</ScaleCrop>
  <LinksUpToDate>false</LinksUpToDate>
  <CharactersWithSpaces>2318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2025-12-31T03:53:00Z</dcterms:created>
  <dc:creator>刘威</dc:creator>
  <cp:lastModifiedBy>刘威</cp:lastModifiedBy>
  <cp:lastPrinted>2025-12-30T08:13:00Z</cp:lastPrinted>
  <dcterms:modified xsi:type="dcterms:W3CDTF">2025-12-31T04:26:27Z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B0B729796FB14C4B929CCBD263F1C8CD_13</vt:lpwstr>
  </property>
  <property fmtid="{D5CDD505-2E9C-101B-9397-08002B2CF9AE}" pid="4" name="KSOTemplateDocerSaveRecord">
    <vt:lpwstr>eyJoZGlkIjoiZTMwNGY3MmYxMjUxNjA2ZjllMzU1NWUwNmFhODY2MzAiLCJ1c2VySWQiOiIxNTY1ODU4NzU2In0=</vt:lpwstr>
  </property>
</Properties>
</file>